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di Don Raffaele Giacopuzzi (in arte Padre Raf).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Sacerdote che in diversi conoscemmo all’inizio degli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anni 2000.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campo legna a Menaggio accompagnò un gruppo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ragazzi per fare un’esperienza insieme a noi di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aiuto ai poveri.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con loro ha vissuto il campo lavorando duramente,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aiutando in tutto e animando con la voce e la chitarra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i momenti di insieme… davvero un bellissimo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ESEMPIO!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Ed è rimasta in mente, associata alla sua persona,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questa bella canzone ironica e molto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profonda sulla povertà di chi ha fame (i passerotti)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sulle povertà di chi ha troppo (i polli… noi!).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 ascoltare con attenzione!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Ricki Pollardo - in versione adattata , simile a come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ricordavamo.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le differenze… capirete… internet allora non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c’era o non si usava!!!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Qui ho trovato una versione sua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(non sapendo che ci fosse!) a lavoro terminato!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https://www.youtube.com/watch?v=ggtaza2XG6k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ggtaza2XG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